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B4895" w14:textId="77777777" w:rsidR="00F65033" w:rsidRDefault="00F65033">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976"/>
        <w:gridCol w:w="2288"/>
      </w:tblGrid>
      <w:tr w:rsidR="00F65033" w14:paraId="4FAFBCEF" w14:textId="77777777">
        <w:trPr>
          <w:trHeight w:val="1401"/>
        </w:trPr>
        <w:tc>
          <w:tcPr>
            <w:tcW w:w="7976" w:type="dxa"/>
            <w:vAlign w:val="center"/>
          </w:tcPr>
          <w:p w14:paraId="5AEC7284" w14:textId="77777777" w:rsidR="00F65033" w:rsidRDefault="00000000">
            <w:pPr>
              <w:pStyle w:val="Title"/>
              <w:ind w:left="0" w:firstLine="0"/>
            </w:pPr>
            <w:r>
              <w:t>Anti-Harassment &amp; Discrimination Policy</w:t>
            </w:r>
          </w:p>
        </w:tc>
        <w:tc>
          <w:tcPr>
            <w:tcW w:w="2288" w:type="dxa"/>
          </w:tcPr>
          <w:p w14:paraId="3BF20B7E" w14:textId="76E2CF24" w:rsidR="00F65033" w:rsidRDefault="00DB50BE">
            <w:pPr>
              <w:ind w:right="-404"/>
            </w:pPr>
            <w:r>
              <w:rPr>
                <w:noProof/>
              </w:rPr>
              <w:drawing>
                <wp:inline distT="0" distB="0" distL="0" distR="0" wp14:anchorId="763188EB" wp14:editId="7FE8EF16">
                  <wp:extent cx="1315720" cy="1315720"/>
                  <wp:effectExtent l="0" t="0" r="0" b="0"/>
                  <wp:docPr id="1880842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842585" name="Picture 18808425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720" cy="1315720"/>
                          </a:xfrm>
                          <a:prstGeom prst="rect">
                            <a:avLst/>
                          </a:prstGeom>
                        </pic:spPr>
                      </pic:pic>
                    </a:graphicData>
                  </a:graphic>
                </wp:inline>
              </w:drawing>
            </w:r>
          </w:p>
        </w:tc>
      </w:tr>
    </w:tbl>
    <w:p w14:paraId="23F006B3" w14:textId="77777777" w:rsidR="00F65033"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sz w:val="24"/>
          <w:szCs w:val="24"/>
        </w:rPr>
      </w:pPr>
      <w:r>
        <w:rPr>
          <w:b/>
          <w:color w:val="000000"/>
        </w:rPr>
        <w:t>Original Date: August 4</w:t>
      </w:r>
      <w:r>
        <w:rPr>
          <w:b/>
          <w:color w:val="000000"/>
          <w:vertAlign w:val="superscript"/>
        </w:rPr>
        <w:t>th</w:t>
      </w:r>
      <w:r>
        <w:rPr>
          <w:b/>
          <w:color w:val="000000"/>
        </w:rPr>
        <w:t>, 2019</w:t>
      </w:r>
      <w:r>
        <w:rPr>
          <w:b/>
          <w:color w:val="000000"/>
        </w:rPr>
        <w:tab/>
        <w:t>Glocal Institute, Inc.</w:t>
      </w:r>
    </w:p>
    <w:p w14:paraId="4A3DCDC1" w14:textId="77777777" w:rsidR="00F65033" w:rsidRDefault="00F65033">
      <w:pPr>
        <w:tabs>
          <w:tab w:val="right" w:pos="10204"/>
        </w:tabs>
        <w:ind w:left="0" w:firstLine="0"/>
        <w:rPr>
          <w:b/>
          <w:sz w:val="8"/>
          <w:szCs w:val="8"/>
        </w:rPr>
      </w:pPr>
    </w:p>
    <w:p w14:paraId="400B3EF4" w14:textId="77777777" w:rsidR="00F65033" w:rsidRDefault="00F65033">
      <w:pPr>
        <w:pBdr>
          <w:top w:val="single" w:sz="4" w:space="1" w:color="000000"/>
        </w:pBdr>
        <w:tabs>
          <w:tab w:val="right" w:pos="10204"/>
        </w:tabs>
      </w:pPr>
    </w:p>
    <w:p w14:paraId="0A7AE851" w14:textId="77777777" w:rsidR="00F65033" w:rsidRDefault="00F65033">
      <w:pPr>
        <w:pBdr>
          <w:top w:val="nil"/>
          <w:left w:val="nil"/>
          <w:bottom w:val="nil"/>
          <w:right w:val="nil"/>
          <w:between w:val="nil"/>
        </w:pBdr>
        <w:tabs>
          <w:tab w:val="center" w:pos="4513"/>
          <w:tab w:val="right" w:pos="9026"/>
        </w:tabs>
        <w:ind w:left="0" w:firstLine="0"/>
        <w:rPr>
          <w:rFonts w:eastAsia="Arial"/>
          <w:color w:val="800000"/>
        </w:rPr>
      </w:pPr>
    </w:p>
    <w:p w14:paraId="282F1E74" w14:textId="77777777" w:rsidR="00F65033" w:rsidRDefault="00000000">
      <w:pPr>
        <w:pStyle w:val="Heading1"/>
        <w:numPr>
          <w:ilvl w:val="0"/>
          <w:numId w:val="3"/>
        </w:numPr>
        <w:tabs>
          <w:tab w:val="left" w:pos="567"/>
        </w:tabs>
      </w:pPr>
      <w:bookmarkStart w:id="0" w:name="_heading=h.gjdgxs" w:colFirst="0" w:colLast="0"/>
      <w:bookmarkEnd w:id="0"/>
      <w:r>
        <w:t>PURPOSE</w:t>
      </w:r>
    </w:p>
    <w:p w14:paraId="32B0165E" w14:textId="77777777" w:rsidR="00F65033" w:rsidRDefault="00000000">
      <w:pPr>
        <w:pBdr>
          <w:top w:val="nil"/>
          <w:left w:val="nil"/>
          <w:bottom w:val="nil"/>
          <w:right w:val="nil"/>
          <w:between w:val="nil"/>
        </w:pBdr>
        <w:spacing w:before="360" w:after="360"/>
        <w:ind w:firstLine="2"/>
        <w:rPr>
          <w:rFonts w:ascii="Verdana" w:eastAsia="Verdana" w:hAnsi="Verdana" w:cs="Verdana"/>
          <w:color w:val="333333"/>
          <w:sz w:val="24"/>
          <w:szCs w:val="24"/>
        </w:rPr>
      </w:pPr>
      <w:r>
        <w:rPr>
          <w:rFonts w:ascii="Verdana" w:eastAsia="Verdana" w:hAnsi="Verdana" w:cs="Verdana"/>
          <w:color w:val="333333"/>
          <w:sz w:val="24"/>
          <w:szCs w:val="24"/>
        </w:rPr>
        <w:t>The purpose of this policy is to set forth Glocal Institute’s procedures for preventing any and all forms harassment &amp; discrimination as well as for investigating and resolving allegations of harassment &amp; discrimination, and to ensure compliance with Title VII of the Civil Rights Act of 1964.</w:t>
      </w:r>
    </w:p>
    <w:p w14:paraId="2856DFE7" w14:textId="77777777" w:rsidR="00F65033" w:rsidRDefault="00F65033"/>
    <w:p w14:paraId="27D86CE6" w14:textId="77777777" w:rsidR="00F65033" w:rsidRDefault="00000000">
      <w:pPr>
        <w:pStyle w:val="Heading1"/>
        <w:numPr>
          <w:ilvl w:val="0"/>
          <w:numId w:val="3"/>
        </w:numPr>
        <w:tabs>
          <w:tab w:val="left" w:pos="567"/>
        </w:tabs>
      </w:pPr>
      <w:bookmarkStart w:id="1" w:name="_heading=h.30j0zll" w:colFirst="0" w:colLast="0"/>
      <w:bookmarkEnd w:id="1"/>
      <w:r>
        <w:t>SCOPE</w:t>
      </w:r>
    </w:p>
    <w:p w14:paraId="34D66E13" w14:textId="77777777" w:rsidR="00F65033" w:rsidRDefault="00F65033"/>
    <w:p w14:paraId="2149A36C" w14:textId="77777777" w:rsidR="00F65033" w:rsidRDefault="00000000">
      <w:pPr>
        <w:pBdr>
          <w:top w:val="nil"/>
          <w:left w:val="nil"/>
          <w:bottom w:val="nil"/>
          <w:right w:val="nil"/>
          <w:between w:val="nil"/>
        </w:pBdr>
        <w:spacing w:before="360" w:after="360"/>
        <w:ind w:firstLine="2"/>
        <w:rPr>
          <w:rFonts w:ascii="Verdana" w:eastAsia="Verdana" w:hAnsi="Verdana" w:cs="Verdana"/>
          <w:color w:val="333333"/>
          <w:sz w:val="24"/>
          <w:szCs w:val="24"/>
        </w:rPr>
      </w:pPr>
      <w:r>
        <w:rPr>
          <w:rFonts w:ascii="Verdana" w:eastAsia="Verdana" w:hAnsi="Verdana" w:cs="Verdana"/>
          <w:color w:val="333333"/>
          <w:sz w:val="24"/>
          <w:szCs w:val="24"/>
        </w:rPr>
        <w:t>This policy applies to all applicants for employment, to all applicants for admission to School programs, and to all officers and employees of the School, all students,  all persons who serve the School as its agents and are under the control of the School, and to all individuals who teach, conduct business or participate in activities at the School. School contractors are also subject to this policy.</w:t>
      </w:r>
    </w:p>
    <w:p w14:paraId="210F3BE1" w14:textId="77777777" w:rsidR="00F65033" w:rsidRDefault="00F65033"/>
    <w:p w14:paraId="6078F1D1" w14:textId="77777777" w:rsidR="00F65033" w:rsidRDefault="00000000">
      <w:pPr>
        <w:pStyle w:val="Heading1"/>
        <w:numPr>
          <w:ilvl w:val="0"/>
          <w:numId w:val="3"/>
        </w:numPr>
        <w:tabs>
          <w:tab w:val="left" w:pos="567"/>
        </w:tabs>
      </w:pPr>
      <w:bookmarkStart w:id="2" w:name="_heading=h.1fob9te" w:colFirst="0" w:colLast="0"/>
      <w:bookmarkEnd w:id="2"/>
      <w:r>
        <w:t>POLICY STATEMENT</w:t>
      </w:r>
    </w:p>
    <w:p w14:paraId="1AE1B8EB" w14:textId="77777777" w:rsidR="00F65033" w:rsidRDefault="00000000">
      <w:pPr>
        <w:pBdr>
          <w:top w:val="nil"/>
          <w:left w:val="nil"/>
          <w:bottom w:val="nil"/>
          <w:right w:val="nil"/>
          <w:between w:val="nil"/>
        </w:pBdr>
        <w:spacing w:before="360" w:after="360"/>
        <w:ind w:firstLine="2"/>
        <w:rPr>
          <w:rFonts w:ascii="Verdana" w:eastAsia="Verdana" w:hAnsi="Verdana" w:cs="Verdana"/>
          <w:color w:val="333333"/>
          <w:sz w:val="24"/>
          <w:szCs w:val="24"/>
        </w:rPr>
      </w:pPr>
      <w:bookmarkStart w:id="3" w:name="_heading=h.3znysh7" w:colFirst="0" w:colLast="0"/>
      <w:bookmarkEnd w:id="3"/>
      <w:r>
        <w:rPr>
          <w:rFonts w:ascii="Verdana" w:eastAsia="Verdana" w:hAnsi="Verdana" w:cs="Verdana"/>
          <w:color w:val="333333"/>
          <w:sz w:val="24"/>
          <w:szCs w:val="24"/>
        </w:rPr>
        <w:t>Harassment &amp; Discrimination are illegal and endanger the environment of civility and mutual respect that must prevail if the School is to fulfill its mission.  The Glocal Institute, Inc. is committed to providing and promoting an atmosphere in which employees can realize their maximum potential in the workplace and students can engage fully in the learning process.  Toward this end, all members of the School community must understand that Harassment &amp; Discrimination, sexual discrimination and sexual exploitation of professional relationships violate the School’s policy and will not be tolerated. The School will take every step to resolve grievances promptly.  Any act of reprisal, interference, or any other form of retaliation, whether direct or indirect, against an individual for raising concerns covered by this policy are also violations of this policy and are prohibited.</w:t>
      </w:r>
    </w:p>
    <w:p w14:paraId="607FC89D" w14:textId="77777777" w:rsidR="00F65033" w:rsidRDefault="00000000">
      <w:pPr>
        <w:pStyle w:val="Heading3"/>
        <w:spacing w:before="308" w:after="308"/>
        <w:ind w:left="567" w:firstLine="0"/>
        <w:rPr>
          <w:rFonts w:ascii="Proxima Nova" w:eastAsia="Proxima Nova" w:hAnsi="Proxima Nova" w:cs="Proxima Nova"/>
          <w:color w:val="385623"/>
          <w:sz w:val="28"/>
          <w:szCs w:val="28"/>
        </w:rPr>
      </w:pPr>
      <w:r>
        <w:rPr>
          <w:rFonts w:ascii="Proxima Nova" w:eastAsia="Proxima Nova" w:hAnsi="Proxima Nova" w:cs="Proxima Nova"/>
          <w:color w:val="385623"/>
          <w:sz w:val="28"/>
          <w:szCs w:val="28"/>
        </w:rPr>
        <w:lastRenderedPageBreak/>
        <w:t xml:space="preserve">Harassment &amp; Discrimination Definitions </w:t>
      </w:r>
    </w:p>
    <w:p w14:paraId="2140268C" w14:textId="77777777" w:rsidR="00F65033" w:rsidRDefault="00000000">
      <w:pPr>
        <w:pStyle w:val="Heading3"/>
        <w:spacing w:before="308" w:after="308"/>
        <w:rPr>
          <w:rFonts w:ascii="Proxima Nova" w:eastAsia="Proxima Nova" w:hAnsi="Proxima Nova" w:cs="Proxima Nova"/>
          <w:color w:val="385623"/>
          <w:sz w:val="28"/>
          <w:szCs w:val="28"/>
        </w:rPr>
      </w:pPr>
      <w:r>
        <w:rPr>
          <w:rFonts w:ascii="Proxima Nova" w:eastAsia="Proxima Nova" w:hAnsi="Proxima Nova" w:cs="Proxima Nova"/>
          <w:color w:val="385623"/>
          <w:sz w:val="28"/>
          <w:szCs w:val="28"/>
        </w:rPr>
        <w:t>(See Title 29 Code of Federal Regulations 1604.11)</w:t>
      </w:r>
    </w:p>
    <w:p w14:paraId="351397D6"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sz w:val="24"/>
          <w:szCs w:val="24"/>
        </w:rPr>
      </w:pPr>
      <w:r>
        <w:rPr>
          <w:rFonts w:ascii="Verdana" w:eastAsia="Verdana" w:hAnsi="Verdana" w:cs="Verdana"/>
          <w:color w:val="333333"/>
          <w:sz w:val="24"/>
          <w:szCs w:val="24"/>
        </w:rPr>
        <w:t>Two categories of Harassment &amp; Discrimination between members of the opposite or same sex are recognized:</w:t>
      </w:r>
    </w:p>
    <w:p w14:paraId="4BB4B173" w14:textId="77777777" w:rsidR="00F65033" w:rsidRDefault="00000000">
      <w:pPr>
        <w:numPr>
          <w:ilvl w:val="0"/>
          <w:numId w:val="1"/>
        </w:numPr>
        <w:spacing w:before="280" w:after="280"/>
        <w:ind w:left="648"/>
        <w:rPr>
          <w:rFonts w:ascii="Verdana" w:eastAsia="Verdana" w:hAnsi="Verdana" w:cs="Verdana"/>
          <w:color w:val="333333"/>
        </w:rPr>
      </w:pPr>
      <w:r>
        <w:rPr>
          <w:rFonts w:ascii="Verdana" w:eastAsia="Verdana" w:hAnsi="Verdana" w:cs="Verdana"/>
          <w:color w:val="333333"/>
        </w:rPr>
        <w:t>Quid Pro Quo - Harassment &amp; Discrimination presented as a “bargain” (quid pro quo – ‘something in exchange’). Unwelcome sexual advances, requests for sexual favors, and other verbal and physical conduct of a sexual nature by one in a superior position constitutes “bargained-for Harassment &amp; Discrimination” when submission by another is made either an explicit or implicit term or condition of employment or of academic standing. In this case, apparent consent of the submitting party is less relevant than the extent to which the sexual conduct is unwelcome.  As defined here, “bargained-for Harassment &amp; Discrimination” normally arises in the context of an authority relationship.  This relationship may be direct as in the case of a supervisor and subordinate or teacher and student or it may be indirect when the harasser has the power to direct others who have authority over the victim.</w:t>
      </w:r>
    </w:p>
    <w:p w14:paraId="6E087845" w14:textId="77777777" w:rsidR="00F65033" w:rsidRDefault="00000000">
      <w:pPr>
        <w:numPr>
          <w:ilvl w:val="0"/>
          <w:numId w:val="1"/>
        </w:numPr>
        <w:spacing w:before="280" w:after="280"/>
        <w:ind w:left="648"/>
        <w:rPr>
          <w:rFonts w:ascii="Verdana" w:eastAsia="Verdana" w:hAnsi="Verdana" w:cs="Verdana"/>
          <w:color w:val="333333"/>
        </w:rPr>
      </w:pPr>
      <w:r>
        <w:rPr>
          <w:rFonts w:ascii="Verdana" w:eastAsia="Verdana" w:hAnsi="Verdana" w:cs="Verdana"/>
          <w:color w:val="333333"/>
        </w:rPr>
        <w:t>Environmental Harassment &amp; Discrimination – Unwelcome sexual advances, requests for sexual favors, and other verbal and physical conduct of a sexual nature constitute “environmental Harassment &amp; Discrimination” when such conduct has the purpose or effect of creating an intimidating, hostile or offensive environment which unreasonably interferes with another’s work, academic performance or privacy.  Environmental harassment can inflict emotional and psychological harm on individuals and can make relationships and the work or study environment unpleasant, threatening and unproductive.  However, there is no requirement that evidence of actual emotional or physiological harm be shown in order for environmental Harassment &amp; Discrimination to be found to have occurred.</w:t>
      </w:r>
    </w:p>
    <w:p w14:paraId="55FAD3B2"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In determining whether alleged conduct constitutes Harassment &amp; Discrimination as defined in the policy, the record as a whole will be considered as well as the context in which the conduct occurred.  “Environmental Harassment &amp; Discrimination” normally arises from a repeated or pervasive course of conduct, whereas “bargained-for Harassment &amp; Discrimination” can be based on a single act.  </w:t>
      </w:r>
    </w:p>
    <w:p w14:paraId="12982B68"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Facts will be judged on the basis of what is reasonable to persons of ordinary sensitivity and not on the particular susceptibility of an individual, unless that susceptibility is known to the alleged harasser.</w:t>
      </w:r>
    </w:p>
    <w:p w14:paraId="72C60327" w14:textId="77777777" w:rsidR="00F65033" w:rsidRDefault="00000000">
      <w:pPr>
        <w:pStyle w:val="Heading3"/>
        <w:spacing w:before="308" w:after="308"/>
        <w:rPr>
          <w:rFonts w:ascii="Verdana" w:eastAsia="Verdana" w:hAnsi="Verdana" w:cs="Verdana"/>
          <w:color w:val="385623"/>
          <w:sz w:val="24"/>
        </w:rPr>
      </w:pPr>
      <w:r>
        <w:rPr>
          <w:rFonts w:ascii="Verdana" w:eastAsia="Verdana" w:hAnsi="Verdana" w:cs="Verdana"/>
          <w:color w:val="385623"/>
          <w:sz w:val="24"/>
        </w:rPr>
        <w:t xml:space="preserve">      Penalties</w:t>
      </w:r>
    </w:p>
    <w:p w14:paraId="3173EF39" w14:textId="77777777" w:rsidR="00F65033" w:rsidRDefault="00000000">
      <w:pPr>
        <w:pBdr>
          <w:top w:val="nil"/>
          <w:left w:val="nil"/>
          <w:bottom w:val="nil"/>
          <w:right w:val="nil"/>
          <w:between w:val="nil"/>
        </w:pBdr>
        <w:spacing w:before="360" w:after="360"/>
        <w:ind w:left="0" w:firstLine="0"/>
        <w:rPr>
          <w:rFonts w:ascii="Verdana" w:eastAsia="Verdana" w:hAnsi="Verdana" w:cs="Verdana"/>
          <w:b/>
          <w:color w:val="003DA5"/>
          <w:sz w:val="24"/>
          <w:szCs w:val="24"/>
        </w:rPr>
      </w:pPr>
      <w:r>
        <w:rPr>
          <w:rFonts w:ascii="Verdana" w:eastAsia="Verdana" w:hAnsi="Verdana" w:cs="Verdana"/>
          <w:color w:val="333333"/>
        </w:rPr>
        <w:t>Penalties will be determined on the basis of the facts of each case and the extent of harm to the School’s interests, as well as any School record indicating previous wrong doing by the accused person including suspension and/or termination of employment or as a student.</w:t>
      </w:r>
    </w:p>
    <w:p w14:paraId="47AD2184" w14:textId="77777777" w:rsidR="00F65033" w:rsidRDefault="00000000">
      <w:pPr>
        <w:pBdr>
          <w:top w:val="nil"/>
          <w:left w:val="nil"/>
          <w:bottom w:val="nil"/>
          <w:right w:val="nil"/>
          <w:between w:val="nil"/>
        </w:pBdr>
        <w:spacing w:before="360" w:after="360"/>
        <w:ind w:left="0" w:firstLine="567"/>
        <w:rPr>
          <w:rFonts w:ascii="Verdana" w:eastAsia="Verdana" w:hAnsi="Verdana" w:cs="Verdana"/>
          <w:b/>
          <w:color w:val="385623"/>
          <w:sz w:val="24"/>
          <w:szCs w:val="24"/>
        </w:rPr>
      </w:pPr>
      <w:r>
        <w:rPr>
          <w:rFonts w:ascii="Verdana" w:eastAsia="Verdana" w:hAnsi="Verdana" w:cs="Verdana"/>
          <w:b/>
          <w:color w:val="385623"/>
          <w:sz w:val="24"/>
          <w:szCs w:val="24"/>
        </w:rPr>
        <w:t>Anti-Retaliation Assurance</w:t>
      </w:r>
    </w:p>
    <w:p w14:paraId="57EBAD8D"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This policy seeks to encourage individuals to express freely, responsibly, and in an orderly way, opinions and feelings about any problem or complaint of Harassment &amp; Discrimination. Any act of retaliation against a complainant or witness is prohibited and will result in appropriate disciplinary action.</w:t>
      </w:r>
    </w:p>
    <w:p w14:paraId="076DE9F2" w14:textId="77777777" w:rsidR="00F65033" w:rsidRDefault="00F65033">
      <w:pPr>
        <w:pBdr>
          <w:top w:val="nil"/>
          <w:left w:val="nil"/>
          <w:bottom w:val="nil"/>
          <w:right w:val="nil"/>
          <w:between w:val="nil"/>
        </w:pBdr>
        <w:spacing w:before="360" w:after="360"/>
        <w:ind w:left="0" w:firstLine="567"/>
        <w:rPr>
          <w:rFonts w:ascii="Verdana" w:eastAsia="Verdana" w:hAnsi="Verdana" w:cs="Verdana"/>
          <w:b/>
          <w:color w:val="385623"/>
          <w:sz w:val="24"/>
          <w:szCs w:val="24"/>
        </w:rPr>
      </w:pPr>
    </w:p>
    <w:p w14:paraId="1EB495B9" w14:textId="77777777" w:rsidR="00F65033" w:rsidRDefault="00000000">
      <w:pPr>
        <w:pBdr>
          <w:top w:val="nil"/>
          <w:left w:val="nil"/>
          <w:bottom w:val="nil"/>
          <w:right w:val="nil"/>
          <w:between w:val="nil"/>
        </w:pBdr>
        <w:spacing w:before="360" w:after="360"/>
        <w:ind w:left="0" w:firstLine="567"/>
        <w:rPr>
          <w:rFonts w:ascii="Verdana" w:eastAsia="Verdana" w:hAnsi="Verdana" w:cs="Verdana"/>
          <w:b/>
          <w:color w:val="385623"/>
          <w:sz w:val="24"/>
          <w:szCs w:val="24"/>
        </w:rPr>
      </w:pPr>
      <w:r>
        <w:rPr>
          <w:rFonts w:ascii="Verdana" w:eastAsia="Verdana" w:hAnsi="Verdana" w:cs="Verdana"/>
          <w:b/>
          <w:color w:val="385623"/>
          <w:sz w:val="24"/>
          <w:szCs w:val="24"/>
        </w:rPr>
        <w:lastRenderedPageBreak/>
        <w:t>Improper Complaints</w:t>
      </w:r>
    </w:p>
    <w:p w14:paraId="10E0A583"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This policy shall not be used to bring frivolous or malicious complaints against students or employees.  A person who brings a complaint that is later found to be frivolous or malicious will be subject to disciplinary action.</w:t>
      </w:r>
    </w:p>
    <w:p w14:paraId="153A5B20" w14:textId="77777777" w:rsidR="00F65033" w:rsidRDefault="00000000">
      <w:pPr>
        <w:pStyle w:val="Heading3"/>
        <w:spacing w:before="308" w:after="308"/>
        <w:ind w:left="0" w:firstLine="0"/>
        <w:rPr>
          <w:rFonts w:ascii="Verdana" w:eastAsia="Verdana" w:hAnsi="Verdana" w:cs="Verdana"/>
          <w:color w:val="385623"/>
          <w:sz w:val="24"/>
        </w:rPr>
      </w:pPr>
      <w:r>
        <w:rPr>
          <w:rFonts w:ascii="Verdana" w:eastAsia="Verdana" w:hAnsi="Verdana" w:cs="Verdana"/>
          <w:color w:val="385623"/>
          <w:sz w:val="24"/>
        </w:rPr>
        <w:tab/>
        <w:t>Confidentiality</w:t>
      </w:r>
    </w:p>
    <w:p w14:paraId="7AC68781"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Information generated in the course of informal reviews and formal investigations necessary to enforcing this policy will be given the full extent of confidentiality accorded by law to employee personnel records and student educational records. Any person who, without authorization, reveals such information will be subject to disciplinary action. The sharing of the content of complaints will be on a “need to know” basis, as determined in consultation with the Administrator and may depend on the type of review and response required by the complaint.  In any case, when a complaint is being mediated or investigated, the person accused will be informed of the specific details of the complaint, as well as the prohibition against retaliation.  </w:t>
      </w:r>
    </w:p>
    <w:p w14:paraId="2D495880" w14:textId="77777777" w:rsidR="00F65033" w:rsidRDefault="00000000">
      <w:pPr>
        <w:pStyle w:val="Heading3"/>
        <w:spacing w:before="308" w:after="308"/>
        <w:ind w:left="0" w:firstLine="567"/>
        <w:rPr>
          <w:rFonts w:ascii="Verdana" w:eastAsia="Verdana" w:hAnsi="Verdana" w:cs="Verdana"/>
          <w:color w:val="385623"/>
          <w:sz w:val="24"/>
        </w:rPr>
      </w:pPr>
      <w:r>
        <w:rPr>
          <w:rFonts w:ascii="Verdana" w:eastAsia="Verdana" w:hAnsi="Verdana" w:cs="Verdana"/>
          <w:color w:val="385623"/>
          <w:sz w:val="24"/>
        </w:rPr>
        <w:t>Responsibility for Reporting</w:t>
      </w:r>
    </w:p>
    <w:p w14:paraId="71D4EB0F"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Any School employee or contractor or student who has direct knowledge of Harassment &amp; Discrimination that has occurred is obligated to inform the School’s Administrator immediately.  To not do so may result in serious consequences for the School, may be considered a breach of responsibility and may be grounds for disciplinary action.</w:t>
      </w:r>
    </w:p>
    <w:p w14:paraId="104A8002" w14:textId="77777777" w:rsidR="00F65033" w:rsidRDefault="00000000">
      <w:pPr>
        <w:pStyle w:val="Heading3"/>
        <w:spacing w:before="308" w:after="308"/>
        <w:ind w:left="0" w:firstLine="567"/>
        <w:rPr>
          <w:rFonts w:ascii="Verdana" w:eastAsia="Verdana" w:hAnsi="Verdana" w:cs="Verdana"/>
          <w:color w:val="385623"/>
          <w:sz w:val="24"/>
        </w:rPr>
      </w:pPr>
      <w:r>
        <w:rPr>
          <w:rFonts w:ascii="Verdana" w:eastAsia="Verdana" w:hAnsi="Verdana" w:cs="Verdana"/>
          <w:color w:val="385623"/>
          <w:sz w:val="24"/>
        </w:rPr>
        <w:t>Education and Outreach</w:t>
      </w:r>
    </w:p>
    <w:p w14:paraId="151D9363"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Glocal Institute, Inc. will train, educate and advise members of the School community about Harassment &amp; Discrimination so that the School will continue to be a safe and productive place to work and to learn.</w:t>
      </w:r>
    </w:p>
    <w:p w14:paraId="2AABFB75" w14:textId="77777777" w:rsidR="00F65033" w:rsidRDefault="00000000">
      <w:pPr>
        <w:pStyle w:val="Heading2"/>
        <w:tabs>
          <w:tab w:val="left" w:pos="567"/>
        </w:tabs>
        <w:ind w:left="0"/>
        <w:rPr>
          <w:rFonts w:ascii="Proxima Nova" w:eastAsia="Proxima Nova" w:hAnsi="Proxima Nova" w:cs="Proxima Nova"/>
          <w:sz w:val="32"/>
          <w:szCs w:val="32"/>
        </w:rPr>
      </w:pPr>
      <w:r>
        <w:rPr>
          <w:rFonts w:ascii="Proxima Nova" w:eastAsia="Proxima Nova" w:hAnsi="Proxima Nova" w:cs="Proxima Nova"/>
          <w:sz w:val="32"/>
          <w:szCs w:val="32"/>
        </w:rPr>
        <w:t>4 Procedures</w:t>
      </w:r>
    </w:p>
    <w:p w14:paraId="22DA7DB7"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The purpose of these procedures is to provide a prompt and fair resolution of problems and to preserve the due process rights of all involved, including the right to receive notice of complaints and to have an opportunity for an impartial investigation.  These procedures are also created to provide for discipline of violators of the School’s Harassment &amp; Discrimination Policy.  If necessary, however, the School’s administration may take immediate and reasonable action to stop harassment and is not limited to the process provided herein.</w:t>
      </w:r>
    </w:p>
    <w:p w14:paraId="33159086" w14:textId="77777777" w:rsidR="00F65033" w:rsidRDefault="00000000">
      <w:pPr>
        <w:pStyle w:val="Heading3"/>
        <w:spacing w:before="308" w:after="308"/>
        <w:rPr>
          <w:rFonts w:ascii="Proxima Nova" w:eastAsia="Proxima Nova" w:hAnsi="Proxima Nova" w:cs="Proxima Nova"/>
          <w:color w:val="385623"/>
          <w:sz w:val="26"/>
          <w:szCs w:val="26"/>
        </w:rPr>
      </w:pPr>
      <w:r>
        <w:rPr>
          <w:rFonts w:ascii="Proxima Nova" w:eastAsia="Proxima Nova" w:hAnsi="Proxima Nova" w:cs="Proxima Nova"/>
          <w:color w:val="385623"/>
          <w:sz w:val="24"/>
        </w:rPr>
        <w:tab/>
      </w:r>
      <w:r>
        <w:rPr>
          <w:rFonts w:ascii="Proxima Nova" w:eastAsia="Proxima Nova" w:hAnsi="Proxima Nova" w:cs="Proxima Nova"/>
          <w:color w:val="385623"/>
          <w:sz w:val="26"/>
          <w:szCs w:val="26"/>
        </w:rPr>
        <w:t>Filing a Complaint</w:t>
      </w:r>
    </w:p>
    <w:p w14:paraId="5D56439D"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Complaints of violations of the School’s Harassment &amp; Discrimination Policy will be accepted in writing or verbally, however formal complaints (see Section C below) must be received in written form.  Complaints will be taken seriously and investigated.  Anyone who has observed Harassment &amp; Discrimination should report it to the Administrator.  The ability to make a complaint is not limited to those who are the direct targets of the harassment (anyone may file a complaint even as a witness only).</w:t>
      </w:r>
    </w:p>
    <w:p w14:paraId="516CBD31" w14:textId="77777777" w:rsidR="00F65033" w:rsidRDefault="00000000">
      <w:pPr>
        <w:pStyle w:val="Heading3"/>
        <w:spacing w:before="308" w:after="308"/>
        <w:rPr>
          <w:rFonts w:ascii="Proxima Nova" w:eastAsia="Proxima Nova" w:hAnsi="Proxima Nova" w:cs="Proxima Nova"/>
          <w:color w:val="385623"/>
          <w:sz w:val="24"/>
        </w:rPr>
      </w:pPr>
      <w:r>
        <w:rPr>
          <w:rFonts w:ascii="Proxima Nova" w:eastAsia="Proxima Nova" w:hAnsi="Proxima Nova" w:cs="Proxima Nova"/>
          <w:color w:val="385623"/>
          <w:sz w:val="24"/>
        </w:rPr>
        <w:lastRenderedPageBreak/>
        <w:tab/>
        <w:t>Informal Resolution</w:t>
      </w:r>
    </w:p>
    <w:p w14:paraId="53A2F4DD"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Complaints of harassment addressed through the informal resolution process may be addressed through a variety of actions, including, but not limited to, the following:</w:t>
      </w:r>
    </w:p>
    <w:p w14:paraId="2D98A9FD" w14:textId="77777777" w:rsidR="00F65033" w:rsidRDefault="00000000">
      <w:pPr>
        <w:numPr>
          <w:ilvl w:val="0"/>
          <w:numId w:val="2"/>
        </w:numPr>
        <w:spacing w:before="280"/>
        <w:rPr>
          <w:rFonts w:ascii="Verdana" w:eastAsia="Verdana" w:hAnsi="Verdana" w:cs="Verdana"/>
          <w:color w:val="333333"/>
        </w:rPr>
      </w:pPr>
      <w:r>
        <w:rPr>
          <w:rFonts w:ascii="Verdana" w:eastAsia="Verdana" w:hAnsi="Verdana" w:cs="Verdana"/>
          <w:color w:val="333333"/>
        </w:rPr>
        <w:t>The employee or student may discuss the concern(s) and the desired resolution with the alleged harasser, with or without the facilitation or presence of a third party.</w:t>
      </w:r>
    </w:p>
    <w:p w14:paraId="54BE115F" w14:textId="77777777" w:rsidR="00F65033" w:rsidRDefault="00000000">
      <w:pPr>
        <w:numPr>
          <w:ilvl w:val="0"/>
          <w:numId w:val="2"/>
        </w:numPr>
        <w:rPr>
          <w:rFonts w:ascii="Verdana" w:eastAsia="Verdana" w:hAnsi="Verdana" w:cs="Verdana"/>
          <w:color w:val="333333"/>
        </w:rPr>
      </w:pPr>
      <w:r>
        <w:rPr>
          <w:rFonts w:ascii="Verdana" w:eastAsia="Verdana" w:hAnsi="Verdana" w:cs="Verdana"/>
          <w:color w:val="333333"/>
        </w:rPr>
        <w:t>The employee or student may address the alleged harasser in writing regarding the concern(s) and the desired resolution with or without the facilitation or presence of a third party.</w:t>
      </w:r>
    </w:p>
    <w:p w14:paraId="1AAD47C6" w14:textId="77777777" w:rsidR="00F65033" w:rsidRDefault="00000000">
      <w:pPr>
        <w:numPr>
          <w:ilvl w:val="0"/>
          <w:numId w:val="2"/>
        </w:numPr>
        <w:spacing w:after="280"/>
        <w:rPr>
          <w:rFonts w:ascii="Verdana" w:eastAsia="Verdana" w:hAnsi="Verdana" w:cs="Verdana"/>
          <w:color w:val="333333"/>
        </w:rPr>
      </w:pPr>
      <w:r>
        <w:rPr>
          <w:rFonts w:ascii="Verdana" w:eastAsia="Verdana" w:hAnsi="Verdana" w:cs="Verdana"/>
          <w:color w:val="333333"/>
        </w:rPr>
        <w:t>The employee or student may ask the Administrator to notify the alleged harasser of the concern(s) and the desired resolution.</w:t>
      </w:r>
    </w:p>
    <w:p w14:paraId="04A73DBE"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If the conduct has not stopped after the complainant’s communication or if the complainant does not wish to make the initial contact with the harasser, they may contact the School’s Administrator.  The person to whom the report is made shall report it immediately (within 1 hour) to the School’s Administrator.</w:t>
      </w:r>
    </w:p>
    <w:p w14:paraId="1EF84817" w14:textId="77777777" w:rsidR="00F65033" w:rsidRDefault="00000000">
      <w:pPr>
        <w:pStyle w:val="Heading3"/>
        <w:spacing w:before="308" w:after="308"/>
        <w:rPr>
          <w:rFonts w:ascii="Proxima Nova" w:eastAsia="Proxima Nova" w:hAnsi="Proxima Nova" w:cs="Proxima Nova"/>
          <w:color w:val="385623"/>
          <w:sz w:val="24"/>
        </w:rPr>
      </w:pPr>
      <w:r>
        <w:rPr>
          <w:rFonts w:ascii="Proxima Nova" w:eastAsia="Proxima Nova" w:hAnsi="Proxima Nova" w:cs="Proxima Nova"/>
          <w:color w:val="385623"/>
          <w:sz w:val="24"/>
        </w:rPr>
        <w:tab/>
        <w:t>Formal Resolution</w:t>
      </w:r>
    </w:p>
    <w:p w14:paraId="35F25852"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Employees &amp; Students who have a complaint of harassment may use the formal grievance procedures.  To use this procedure, the employee must submit a written complaint to the Administrator within 30 calendar days of the alleged harassing action.</w:t>
      </w:r>
    </w:p>
    <w:p w14:paraId="2D3323F2" w14:textId="77777777" w:rsidR="00F65033" w:rsidRDefault="00000000">
      <w:pPr>
        <w:pStyle w:val="Heading3"/>
        <w:spacing w:before="308" w:after="308"/>
        <w:rPr>
          <w:rFonts w:ascii="Proxima Nova" w:eastAsia="Proxima Nova" w:hAnsi="Proxima Nova" w:cs="Proxima Nova"/>
          <w:color w:val="385623"/>
          <w:sz w:val="24"/>
        </w:rPr>
      </w:pPr>
      <w:r>
        <w:rPr>
          <w:rFonts w:ascii="Proxima Nova" w:eastAsia="Proxima Nova" w:hAnsi="Proxima Nova" w:cs="Proxima Nova"/>
          <w:color w:val="385623"/>
          <w:sz w:val="24"/>
        </w:rPr>
        <w:tab/>
        <w:t>Investigation</w:t>
      </w:r>
    </w:p>
    <w:p w14:paraId="1DF6D2CF"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Confidentiality shall be maintained to the greatest extent possible within the requirements of conducting reasonable investigations. Only those who have a ‘need to know’ will or may find the identity of the parties.  </w:t>
      </w:r>
    </w:p>
    <w:p w14:paraId="21020526"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Once a formal complaint is made to a School official or employee, the official or employee will forward the complaint to the Administrator.  He/she will maintain all records related to such cases separately from the School personnel files.  Formal complaints will be investigated promptly and impartially.</w:t>
      </w:r>
    </w:p>
    <w:p w14:paraId="658C5440"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The Administrator may conduct the investigation will forward the complaint to an investigatory team for investigation and recommended action.  The team is authorized to review, investigate and advise with respect to the adjustment of complaints related to Harassment &amp; Discrimination filed by any member of the School community. </w:t>
      </w:r>
    </w:p>
    <w:p w14:paraId="53890619"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The investigatory team is authorized to meet with the complainant, the accused, and any witnesses in order to determine facts regarding the allegation.  Meetings with the parties to the complaint should be conducted individually and should not take the form of a hearing. These meetings may be done by the team as a whole or by members designated by the chair.</w:t>
      </w:r>
    </w:p>
    <w:p w14:paraId="4ABBC7AC"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 xml:space="preserve">An accurate record of all meetings and interviews shall be made by the investigatory team. </w:t>
      </w:r>
    </w:p>
    <w:p w14:paraId="20E7DC1D"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t>Upon completion of its review, the team shall make a report to the designee of the accused. The report shall consist of a summary of findings, including a statement of the charges, the evidence presented and a determination as to whether or not the complaint rises to the level of Harassment &amp; Discrimination as defined by federal law.</w:t>
      </w:r>
    </w:p>
    <w:p w14:paraId="79F41B13"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333333"/>
        </w:rPr>
      </w:pPr>
      <w:r>
        <w:rPr>
          <w:rFonts w:ascii="Verdana" w:eastAsia="Verdana" w:hAnsi="Verdana" w:cs="Verdana"/>
          <w:color w:val="333333"/>
        </w:rPr>
        <w:lastRenderedPageBreak/>
        <w:t>All reasonable attempts will be made to complete this entire process in a timely manner.  Complaints shall be resolved within sixty (60) days from the date the complaint is received by the Administrator.</w:t>
      </w:r>
    </w:p>
    <w:p w14:paraId="24BFA03D" w14:textId="77777777" w:rsidR="00F65033" w:rsidRDefault="00000000">
      <w:pPr>
        <w:pStyle w:val="Heading3"/>
        <w:spacing w:before="308" w:after="308"/>
        <w:rPr>
          <w:rFonts w:ascii="Proxima Nova" w:eastAsia="Proxima Nova" w:hAnsi="Proxima Nova" w:cs="Proxima Nova"/>
          <w:color w:val="385623"/>
          <w:sz w:val="24"/>
        </w:rPr>
      </w:pPr>
      <w:r>
        <w:rPr>
          <w:rFonts w:ascii="Proxima Nova" w:eastAsia="Proxima Nova" w:hAnsi="Proxima Nova" w:cs="Proxima Nova"/>
          <w:color w:val="385623"/>
          <w:sz w:val="24"/>
        </w:rPr>
        <w:tab/>
        <w:t>Appeals</w:t>
      </w:r>
    </w:p>
    <w:p w14:paraId="66731335" w14:textId="77777777" w:rsidR="00F65033" w:rsidRDefault="00000000">
      <w:pPr>
        <w:pBdr>
          <w:top w:val="nil"/>
          <w:left w:val="nil"/>
          <w:bottom w:val="nil"/>
          <w:right w:val="nil"/>
          <w:between w:val="nil"/>
        </w:pBdr>
        <w:spacing w:before="360" w:after="360"/>
        <w:ind w:left="0" w:firstLine="0"/>
        <w:rPr>
          <w:rFonts w:ascii="Verdana" w:eastAsia="Verdana" w:hAnsi="Verdana" w:cs="Verdana"/>
          <w:color w:val="000000"/>
        </w:rPr>
      </w:pPr>
      <w:r>
        <w:rPr>
          <w:rFonts w:ascii="Verdana" w:eastAsia="Verdana" w:hAnsi="Verdana" w:cs="Verdana"/>
          <w:color w:val="333333"/>
        </w:rPr>
        <w:t xml:space="preserve">Harassment &amp; Discrimination is a violation of Title VII of the Civil Rights Act of 1964.  Employees or applicants may also choose to file a complaint of Harassment </w:t>
      </w:r>
      <w:r>
        <w:rPr>
          <w:rFonts w:ascii="Verdana" w:eastAsia="Verdana" w:hAnsi="Verdana" w:cs="Verdana"/>
          <w:color w:val="000000"/>
        </w:rPr>
        <w:t>Responsibility.</w:t>
      </w:r>
    </w:p>
    <w:p w14:paraId="67B4CA4B" w14:textId="77777777" w:rsidR="00F65033" w:rsidRDefault="00F65033">
      <w:pPr>
        <w:pBdr>
          <w:top w:val="nil"/>
          <w:left w:val="nil"/>
          <w:bottom w:val="nil"/>
          <w:right w:val="nil"/>
          <w:between w:val="nil"/>
        </w:pBdr>
        <w:spacing w:before="360" w:after="360"/>
        <w:ind w:left="0" w:firstLine="0"/>
        <w:rPr>
          <w:rFonts w:ascii="Verdana" w:eastAsia="Verdana" w:hAnsi="Verdana" w:cs="Verdana"/>
          <w:color w:val="000000"/>
        </w:rPr>
      </w:pPr>
    </w:p>
    <w:p w14:paraId="1DC18A9F" w14:textId="77777777" w:rsidR="00F65033" w:rsidRDefault="00F65033">
      <w:pPr>
        <w:pBdr>
          <w:top w:val="nil"/>
          <w:left w:val="nil"/>
          <w:bottom w:val="nil"/>
          <w:right w:val="nil"/>
          <w:between w:val="nil"/>
        </w:pBdr>
        <w:spacing w:before="360" w:after="360"/>
        <w:ind w:left="0" w:firstLine="0"/>
        <w:rPr>
          <w:rFonts w:ascii="Verdana" w:eastAsia="Verdana" w:hAnsi="Verdana" w:cs="Verdana"/>
          <w:color w:val="000000"/>
        </w:rPr>
      </w:pPr>
    </w:p>
    <w:p w14:paraId="24EFB467" w14:textId="77777777" w:rsidR="00F65033" w:rsidRDefault="00F65033">
      <w:pPr>
        <w:pBdr>
          <w:top w:val="nil"/>
          <w:left w:val="nil"/>
          <w:bottom w:val="nil"/>
          <w:right w:val="nil"/>
          <w:between w:val="nil"/>
        </w:pBdr>
        <w:spacing w:before="360" w:after="360"/>
        <w:ind w:left="0" w:firstLine="0"/>
        <w:rPr>
          <w:rFonts w:ascii="Verdana" w:eastAsia="Verdana" w:hAnsi="Verdana" w:cs="Verdana"/>
          <w:color w:val="000000"/>
        </w:rPr>
      </w:pPr>
    </w:p>
    <w:p w14:paraId="1AE8A791" w14:textId="77777777" w:rsidR="00F65033" w:rsidRDefault="00F65033">
      <w:pPr>
        <w:pBdr>
          <w:top w:val="nil"/>
          <w:left w:val="nil"/>
          <w:bottom w:val="nil"/>
          <w:right w:val="nil"/>
          <w:between w:val="nil"/>
        </w:pBdr>
        <w:spacing w:before="360" w:after="360"/>
        <w:ind w:left="0" w:firstLine="0"/>
        <w:rPr>
          <w:rFonts w:ascii="Times New Roman" w:eastAsia="Times New Roman" w:hAnsi="Times New Roman" w:cs="Times New Roman"/>
          <w:color w:val="000000"/>
        </w:rPr>
      </w:pPr>
    </w:p>
    <w:p w14:paraId="6A71187A" w14:textId="77777777" w:rsidR="00F65033" w:rsidRDefault="00000000">
      <w:pPr>
        <w:pStyle w:val="Heading1"/>
        <w:numPr>
          <w:ilvl w:val="0"/>
          <w:numId w:val="3"/>
        </w:numPr>
        <w:tabs>
          <w:tab w:val="left" w:pos="567"/>
        </w:tabs>
      </w:pPr>
      <w:bookmarkStart w:id="4" w:name="_heading=h.2et92p0" w:colFirst="0" w:colLast="0"/>
      <w:bookmarkEnd w:id="4"/>
      <w:r>
        <w:t>APPROVAL AND REVIEW DETAILS</w:t>
      </w:r>
    </w:p>
    <w:p w14:paraId="0FC4E002" w14:textId="77777777" w:rsidR="00F65033" w:rsidRDefault="00F65033"/>
    <w:tbl>
      <w:tblPr>
        <w:tblStyle w:val="a0"/>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F65033" w14:paraId="2C80F638" w14:textId="77777777">
        <w:tc>
          <w:tcPr>
            <w:tcW w:w="3232" w:type="dxa"/>
            <w:shd w:val="clear" w:color="auto" w:fill="D9D9D9"/>
          </w:tcPr>
          <w:p w14:paraId="0ED25E7B" w14:textId="77777777" w:rsidR="00F65033" w:rsidRDefault="00000000">
            <w:pPr>
              <w:spacing w:after="120"/>
              <w:ind w:left="0" w:firstLine="0"/>
              <w:rPr>
                <w:b/>
              </w:rPr>
            </w:pPr>
            <w:r>
              <w:rPr>
                <w:b/>
              </w:rPr>
              <w:t>Approval and Review</w:t>
            </w:r>
          </w:p>
        </w:tc>
        <w:tc>
          <w:tcPr>
            <w:tcW w:w="6520" w:type="dxa"/>
            <w:shd w:val="clear" w:color="auto" w:fill="D9D9D9"/>
          </w:tcPr>
          <w:p w14:paraId="377F5F8A" w14:textId="77777777" w:rsidR="00F65033" w:rsidRDefault="00000000">
            <w:pPr>
              <w:rPr>
                <w:b/>
              </w:rPr>
            </w:pPr>
            <w:r>
              <w:rPr>
                <w:b/>
              </w:rPr>
              <w:t>Details</w:t>
            </w:r>
          </w:p>
        </w:tc>
      </w:tr>
      <w:tr w:rsidR="00F65033" w14:paraId="2AED324C" w14:textId="77777777">
        <w:tc>
          <w:tcPr>
            <w:tcW w:w="3232" w:type="dxa"/>
            <w:shd w:val="clear" w:color="auto" w:fill="FFFFFF"/>
          </w:tcPr>
          <w:p w14:paraId="6A7287F3" w14:textId="77777777" w:rsidR="00F65033" w:rsidRDefault="00000000">
            <w:pPr>
              <w:ind w:left="0" w:firstLine="0"/>
              <w:rPr>
                <w:sz w:val="18"/>
                <w:szCs w:val="18"/>
              </w:rPr>
            </w:pPr>
            <w:r>
              <w:rPr>
                <w:sz w:val="18"/>
                <w:szCs w:val="18"/>
              </w:rPr>
              <w:t>Approval Authority</w:t>
            </w:r>
          </w:p>
        </w:tc>
        <w:tc>
          <w:tcPr>
            <w:tcW w:w="6520" w:type="dxa"/>
          </w:tcPr>
          <w:p w14:paraId="46D66BAA" w14:textId="77777777" w:rsidR="00F65033" w:rsidRDefault="00000000">
            <w:pPr>
              <w:ind w:left="0" w:firstLine="0"/>
              <w:rPr>
                <w:color w:val="2F5496"/>
                <w:sz w:val="18"/>
                <w:szCs w:val="18"/>
              </w:rPr>
            </w:pPr>
            <w:r>
              <w:rPr>
                <w:color w:val="2F5496"/>
                <w:sz w:val="18"/>
                <w:szCs w:val="18"/>
              </w:rPr>
              <w:t>8/4/19</w:t>
            </w:r>
          </w:p>
        </w:tc>
      </w:tr>
      <w:tr w:rsidR="00F65033" w14:paraId="4F407FC7" w14:textId="77777777">
        <w:tc>
          <w:tcPr>
            <w:tcW w:w="3232" w:type="dxa"/>
            <w:shd w:val="clear" w:color="auto" w:fill="FFFFFF"/>
          </w:tcPr>
          <w:p w14:paraId="68AF69C5" w14:textId="77777777" w:rsidR="00F65033" w:rsidRDefault="00000000">
            <w:pPr>
              <w:ind w:left="0" w:firstLine="0"/>
              <w:rPr>
                <w:sz w:val="18"/>
                <w:szCs w:val="18"/>
              </w:rPr>
            </w:pPr>
            <w:r>
              <w:rPr>
                <w:sz w:val="18"/>
                <w:szCs w:val="18"/>
              </w:rPr>
              <w:t>Advisory Committee to Approval Authority</w:t>
            </w:r>
          </w:p>
        </w:tc>
        <w:tc>
          <w:tcPr>
            <w:tcW w:w="6520" w:type="dxa"/>
          </w:tcPr>
          <w:p w14:paraId="2C799471" w14:textId="77777777" w:rsidR="00F65033" w:rsidRDefault="00000000">
            <w:pPr>
              <w:ind w:left="0" w:firstLine="0"/>
              <w:rPr>
                <w:color w:val="2F5496"/>
                <w:sz w:val="18"/>
                <w:szCs w:val="18"/>
              </w:rPr>
            </w:pPr>
            <w:r>
              <w:rPr>
                <w:color w:val="2F5496"/>
                <w:sz w:val="18"/>
                <w:szCs w:val="18"/>
              </w:rPr>
              <w:t>8/4/19</w:t>
            </w:r>
          </w:p>
        </w:tc>
      </w:tr>
      <w:tr w:rsidR="00F65033" w14:paraId="5F4348B8" w14:textId="77777777">
        <w:tc>
          <w:tcPr>
            <w:tcW w:w="3232" w:type="dxa"/>
            <w:shd w:val="clear" w:color="auto" w:fill="FFFFFF"/>
          </w:tcPr>
          <w:p w14:paraId="7872CF21" w14:textId="77777777" w:rsidR="00F65033" w:rsidRDefault="00000000">
            <w:pPr>
              <w:ind w:left="0" w:firstLine="0"/>
              <w:rPr>
                <w:sz w:val="18"/>
                <w:szCs w:val="18"/>
              </w:rPr>
            </w:pPr>
            <w:r>
              <w:rPr>
                <w:sz w:val="18"/>
                <w:szCs w:val="18"/>
              </w:rPr>
              <w:t>Administrator</w:t>
            </w:r>
          </w:p>
        </w:tc>
        <w:tc>
          <w:tcPr>
            <w:tcW w:w="6520" w:type="dxa"/>
          </w:tcPr>
          <w:p w14:paraId="67811D05" w14:textId="35E9C187" w:rsidR="00F65033" w:rsidRDefault="00000000">
            <w:pPr>
              <w:ind w:left="0" w:firstLine="0"/>
              <w:rPr>
                <w:color w:val="2F5496"/>
                <w:sz w:val="18"/>
                <w:szCs w:val="18"/>
              </w:rPr>
            </w:pPr>
            <w:r>
              <w:rPr>
                <w:color w:val="2F5496"/>
                <w:sz w:val="18"/>
                <w:szCs w:val="18"/>
              </w:rPr>
              <w:t>8/4/19; 3/30/2021</w:t>
            </w:r>
            <w:r w:rsidR="00DB50BE">
              <w:rPr>
                <w:color w:val="2F5496"/>
                <w:sz w:val="18"/>
                <w:szCs w:val="18"/>
              </w:rPr>
              <w:t>, 3/29/24</w:t>
            </w:r>
          </w:p>
        </w:tc>
      </w:tr>
      <w:tr w:rsidR="00F65033" w14:paraId="21774FE4" w14:textId="77777777">
        <w:tc>
          <w:tcPr>
            <w:tcW w:w="3232" w:type="dxa"/>
            <w:tcBorders>
              <w:bottom w:val="single" w:sz="4" w:space="0" w:color="000000"/>
            </w:tcBorders>
            <w:shd w:val="clear" w:color="auto" w:fill="FFFFFF"/>
          </w:tcPr>
          <w:p w14:paraId="33499702" w14:textId="77777777" w:rsidR="00F65033" w:rsidRDefault="00000000">
            <w:pPr>
              <w:ind w:left="0" w:firstLine="0"/>
              <w:rPr>
                <w:sz w:val="18"/>
                <w:szCs w:val="18"/>
              </w:rPr>
            </w:pPr>
            <w:r>
              <w:rPr>
                <w:sz w:val="18"/>
                <w:szCs w:val="18"/>
              </w:rPr>
              <w:t>Next Review Date</w:t>
            </w:r>
          </w:p>
        </w:tc>
        <w:tc>
          <w:tcPr>
            <w:tcW w:w="6520" w:type="dxa"/>
            <w:tcBorders>
              <w:bottom w:val="single" w:sz="4" w:space="0" w:color="000000"/>
            </w:tcBorders>
          </w:tcPr>
          <w:p w14:paraId="2932EB3D" w14:textId="27E0BCDE" w:rsidR="00F65033" w:rsidRDefault="00000000">
            <w:pPr>
              <w:ind w:left="0" w:firstLine="0"/>
              <w:rPr>
                <w:color w:val="2F5496"/>
                <w:sz w:val="18"/>
                <w:szCs w:val="18"/>
              </w:rPr>
            </w:pPr>
            <w:r>
              <w:rPr>
                <w:color w:val="2F5496"/>
                <w:sz w:val="18"/>
                <w:szCs w:val="18"/>
              </w:rPr>
              <w:t>4/1/202</w:t>
            </w:r>
            <w:r w:rsidR="00DB50BE">
              <w:rPr>
                <w:color w:val="2F5496"/>
                <w:sz w:val="18"/>
                <w:szCs w:val="18"/>
              </w:rPr>
              <w:t>5</w:t>
            </w:r>
          </w:p>
        </w:tc>
      </w:tr>
    </w:tbl>
    <w:p w14:paraId="7940914D" w14:textId="77777777" w:rsidR="00F65033" w:rsidRDefault="00F65033">
      <w:pPr>
        <w:ind w:left="0" w:firstLine="0"/>
        <w:jc w:val="center"/>
        <w:rPr>
          <w:color w:val="2F5496"/>
        </w:rPr>
      </w:pPr>
      <w:bookmarkStart w:id="5" w:name="bookmark=id.tyjcwt" w:colFirst="0" w:colLast="0"/>
      <w:bookmarkEnd w:id="5"/>
    </w:p>
    <w:sectPr w:rsidR="00F65033">
      <w:footerReference w:type="default" r:id="rId9"/>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2499E" w14:textId="77777777" w:rsidR="00AF5B32" w:rsidRDefault="00AF5B32">
      <w:r>
        <w:separator/>
      </w:r>
    </w:p>
  </w:endnote>
  <w:endnote w:type="continuationSeparator" w:id="0">
    <w:p w14:paraId="095B7300" w14:textId="77777777" w:rsidR="00AF5B32" w:rsidRDefault="00AF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roxima Nov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767D" w14:textId="77777777" w:rsidR="00F65033"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Anti-Harassment Policy and Procedure</w:t>
    </w:r>
    <w:r>
      <w:rPr>
        <w:rFonts w:eastAsia="Arial"/>
        <w:color w:val="000000"/>
        <w:sz w:val="18"/>
        <w:szCs w:val="18"/>
      </w:rPr>
      <w:tab/>
      <w:t>Effective Date: 03/30/2021</w:t>
    </w:r>
  </w:p>
  <w:p w14:paraId="11076A69" w14:textId="77777777" w:rsidR="00F65033"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Reference Number/Code: 03</w:t>
    </w:r>
    <w:r>
      <w:rPr>
        <w:rFonts w:eastAsia="Arial"/>
        <w:color w:val="000000"/>
        <w:sz w:val="18"/>
        <w:szCs w:val="18"/>
      </w:rPr>
      <w:tab/>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A14286">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A14286">
      <w:rPr>
        <w:rFonts w:eastAsia="Arial"/>
        <w:noProof/>
        <w:color w:val="000000"/>
        <w:sz w:val="18"/>
        <w:szCs w:val="18"/>
      </w:rPr>
      <w:t>2</w:t>
    </w:r>
    <w:r>
      <w:rPr>
        <w:rFonts w:eastAsia="Arial"/>
        <w:color w:val="000000"/>
        <w:sz w:val="18"/>
        <w:szCs w:val="18"/>
      </w:rPr>
      <w:fldChar w:fldCharType="end"/>
    </w:r>
  </w:p>
  <w:p w14:paraId="6489FF2E" w14:textId="77777777" w:rsidR="00F65033" w:rsidRDefault="00F65033">
    <w:pPr>
      <w:pBdr>
        <w:top w:val="nil"/>
        <w:left w:val="nil"/>
        <w:bottom w:val="nil"/>
        <w:right w:val="nil"/>
        <w:between w:val="nil"/>
      </w:pBdr>
      <w:tabs>
        <w:tab w:val="center" w:pos="4513"/>
        <w:tab w:val="right" w:pos="9026"/>
        <w:tab w:val="right" w:pos="10204"/>
      </w:tabs>
      <w:rPr>
        <w:rFonts w:eastAsia="Arial"/>
        <w:color w:val="000000"/>
        <w:sz w:val="18"/>
        <w:szCs w:val="18"/>
      </w:rPr>
    </w:pPr>
  </w:p>
  <w:p w14:paraId="1D0F7B07" w14:textId="77777777" w:rsidR="00F65033"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w:t>
    </w:r>
  </w:p>
  <w:p w14:paraId="75EF83EC" w14:textId="77777777" w:rsidR="00F65033" w:rsidRDefault="00F65033">
    <w:pPr>
      <w:pBdr>
        <w:top w:val="nil"/>
        <w:left w:val="nil"/>
        <w:bottom w:val="nil"/>
        <w:right w:val="nil"/>
        <w:between w:val="nil"/>
      </w:pBdr>
      <w:tabs>
        <w:tab w:val="center" w:pos="4513"/>
        <w:tab w:val="right" w:pos="9026"/>
      </w:tabs>
      <w:jc w:val="center"/>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B85E3" w14:textId="77777777" w:rsidR="00AF5B32" w:rsidRDefault="00AF5B32">
      <w:r>
        <w:separator/>
      </w:r>
    </w:p>
  </w:footnote>
  <w:footnote w:type="continuationSeparator" w:id="0">
    <w:p w14:paraId="3F100B3C" w14:textId="77777777" w:rsidR="00AF5B32" w:rsidRDefault="00AF5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85161"/>
    <w:multiLevelType w:val="multilevel"/>
    <w:tmpl w:val="6522319A"/>
    <w:lvl w:ilvl="0">
      <w:start w:val="1"/>
      <w:numFmt w:val="decimal"/>
      <w:pStyle w:val="Heading1"/>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start w:val="1"/>
      <w:numFmt w:val="decimal"/>
      <w:lvlText w:val="%9."/>
      <w:lvlJc w:val="left"/>
      <w:pPr>
        <w:ind w:left="8640" w:hanging="360"/>
      </w:pPr>
    </w:lvl>
  </w:abstractNum>
  <w:abstractNum w:abstractNumId="1" w15:restartNumberingAfterBreak="0">
    <w:nsid w:val="35B4728A"/>
    <w:multiLevelType w:val="multilevel"/>
    <w:tmpl w:val="CD0CD0E8"/>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53842542"/>
    <w:multiLevelType w:val="multilevel"/>
    <w:tmpl w:val="1DB874F4"/>
    <w:lvl w:ilvl="0">
      <w:start w:val="1"/>
      <w:numFmt w:val="bullet"/>
      <w:lvlText w:val="●"/>
      <w:lvlJc w:val="left"/>
      <w:pPr>
        <w:ind w:left="927" w:hanging="360"/>
      </w:pPr>
      <w:rPr>
        <w:rFonts w:ascii="Noto Sans Symbols" w:eastAsia="Noto Sans Symbols" w:hAnsi="Noto Sans Symbols" w:cs="Noto Sans Symbols"/>
      </w:r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360"/>
      </w:pPr>
    </w:lvl>
  </w:abstractNum>
  <w:num w:numId="1" w16cid:durableId="1792018946">
    <w:abstractNumId w:val="0"/>
  </w:num>
  <w:num w:numId="2" w16cid:durableId="1018582509">
    <w:abstractNumId w:val="2"/>
  </w:num>
  <w:num w:numId="3" w16cid:durableId="19196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33"/>
    <w:rsid w:val="00A14286"/>
    <w:rsid w:val="00AF5B32"/>
    <w:rsid w:val="00DB50BE"/>
    <w:rsid w:val="00F6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2216"/>
  <w15:docId w15:val="{3C6B61CD-2FEA-41B5-8F64-D317A9CB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NormalWeb">
    <w:name w:val="Normal (Web)"/>
    <w:basedOn w:val="Normal"/>
    <w:uiPriority w:val="99"/>
    <w:unhideWhenUsed/>
    <w:rsid w:val="006940E9"/>
    <w:pPr>
      <w:tabs>
        <w:tab w:val="clear" w:pos="567"/>
      </w:tabs>
      <w:spacing w:before="100" w:beforeAutospacing="1" w:after="100" w:afterAutospacing="1"/>
      <w:ind w:left="0" w:firstLine="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6940E9"/>
    <w:rPr>
      <w:b/>
      <w:bCs/>
    </w:rPr>
  </w:style>
  <w:style w:type="character" w:customStyle="1" w:styleId="fieldset-legend-prefix">
    <w:name w:val="fieldset-legend-prefix"/>
    <w:basedOn w:val="DefaultParagraphFont"/>
    <w:rsid w:val="00755EB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IUOzso6rk0lNvXCYZNWhylZMog==">AMUW2mVZkcCRvN/+TYzKo01JF59RcRkDqhj7s5k2ewP33zSrxh6Ca0gduSOgfMfnyITnmg401aNXaZaO0TAu4VS2nUDDsuJho3YpHzOpOSEKCUHbMFOEji+SlORb+RvnETnCuvMo/TPZXjm1gzJXzTQZGfhSD/RX8QBJMzVhZSyil4RMcElMVSKcuIXVntyqVMqi6eEgWGTn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3</cp:revision>
  <dcterms:created xsi:type="dcterms:W3CDTF">2024-04-08T01:59:00Z</dcterms:created>
  <dcterms:modified xsi:type="dcterms:W3CDTF">2024-04-08T02:00:00Z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